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附件1：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金属安检门参数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属安检门，具有高灵敏度和较强抗干扰能力，可对过检人员进行金属检测，有效进行违规物品核验;支持联网功能，满足不同场景下的平台管理需求;可应用于公检法、监狱、政府、交通枢纽、企业园区、办公大楼、学校、医院、文博景区、大型安保活动等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联网功能:可以单机联网，通过 web 端进行参数配置;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▲金属检测:可检测到1元硬币大小的金属，有效进行违规物品核验;超低探测高度:离地 3cm 以上的金属物体进入检测区域均可报警。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▲开机自诊断功能:开机时对系统进行自检，并显示检测结果。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▲4.3 英寸 LCD 彩色液晶屏显示，可显示菜单、通过人数、金属报警人数等信息;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▲多区位报警功能:人体不同位置的多个金属通过安检门时会同时报警，并可以指示多个金属的位置，最多支持 12 区位。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▲大模块化组件设计:运输、维护方便快捷。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金属检测产品特性：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探测精度：最高灵敏度正中间可检测到1个硬币大小的金属；不会漏报和串报；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区位显示：产品分成12个防区，可疑物体能在每个区域准确显示。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频率设置：多种频率可调，降低多台门并行使用的干扰。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灵敏度调节：灵敏度可以根据需要调整，共有255级灵敏度。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统计人数：双侧对射红外可以准确检测到通过人数和报警人数。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定位灯：门柱带有LED灯，能直观的通过定位灯显示违禁物品所在座域。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面板显示：采用4.3寸液晶屏显示。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一键设置：内置智能芯片，储存多种场所所推荐探测灵敏度设定值，方便用户快速选择。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门体材质：外表采用PVC,美观，大方，防火，防腐蚀，防潮和防撞，不变形。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安全保护：符合国际安全标准，对心脏起博器佩带者、孕妇、磁性介质等无害。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附件2：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安检机参数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通道尺寸 650 (宽)×500（高）mm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传送带额定负荷 170kg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▲穿透力：应不小于43mm厚度钢板。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传送带速度 0.22m/s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射线束方向 底照式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噪音级 ＜55db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单操作台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管电压 80 KV （可调）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▲分辨力：线分辨力应能分辨直径不大于Φ0.0787mm单根实芯铜线；穿透分辨力应能分辨直径不大于Φ0.203mm的单根实芯铜线；空间分辨力应能分辨直径不大于Φ0.8mm线对。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周围剂量当量率和单次检查剂量：设备正常工作时，封闭式设备在距设备的任何可达表面0.1m处（包括设备的入口、出口处）周围剂量当量率在0.2m/s下∶应不大于0.01μSv/h;工作人员位置的周围剂量当量率在0.2m/s下：应不大于0.01μSv/h；两个X射线产生装置单次检查剂量应不大于1.67µGy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皮带速度可调功能和设备工作噪声要求：皮带转速应具有0.2m/s、0.3m/s、0.45m/s可调功能，应可根据安检人流量进行切换调节，过包量分别达到720个/h、1080个/h、1620个/h；设备工作噪声要求：设备正常工作时，距设备表面1m的任意位置噪声应不大于58dB(A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一键开关机功能和低温和高温要求：设备应一键开机，一键完全切断设备电源；低温要求，整机：-20℃±3℃，8h;或具有独立功能的电器部件：-20℃±3℃，4h。试验后设备应能正常工作，且不应出现锈蚀和机械损伤现象；高温要求，整机：60℃±2℃，8h;或具有独立功能的电器部件：60℃±2℃，4h。试验后设备应能正常工作，且不应出现锈蚀和机械损伤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▲移动平台功能：设备应具有移动平台功能，可移动到不同地点。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▲探测驱动功能：设备应具有探测驱动功能，当输送装置上无过检物，输送装置停止，当输送装置上有过检物，输送装置运转。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产品特性：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1.工作电压 220VAC(±10%) 50/60Hz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通过率 720 个/h 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工作温度/湿度 0℃~ 45℃/20％~95％（不冷凝）。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 显示器 19 寸高分辨率显示器。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 储存温度/湿度 -20℃~60℃/20％~95％（不冷凝），功耗 0.6KW（最大值）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必须符合《微剂量X射线安全检查设备 第1部分 通用技术要求》（GB15208.1-2005）等相应国家标准规范。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 应当满足的质量、安全、卫生、技术规格、性能、物理特性（外观、结构、材料）等要求。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 设备必须达到国内外同类产品先进水平，确保长期稳定运行。所有部件和组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件均应符合国家或国际质量标准。                                                                                                                                                                               9. 提供定期维护和保养服务，确保设备处于最佳工作状态；提供7*24小时技术支持和故障响应服务；设备保修期三年，保修期内发生的故障应免费维修；定期维护14天一次、保养每月进行一次。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10.设备应有由符合资质的检测机构出具近3个内的有效的计量检测合格证明。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附件3：</w:t>
      </w:r>
      <w:r>
        <w:rPr>
          <w:rFonts w:hint="eastAsia"/>
          <w:sz w:val="28"/>
          <w:szCs w:val="28"/>
          <w:lang w:val="en-US" w:eastAsia="zh-CN"/>
        </w:rPr>
        <w:t>报名表</w:t>
      </w:r>
    </w:p>
    <w:p>
      <w:pPr>
        <w:widowControl/>
        <w:shd w:val="clear" w:color="auto" w:fill="FFFFFF"/>
        <w:spacing w:line="480" w:lineRule="atLeast"/>
        <w:ind w:firstLine="560"/>
        <w:jc w:val="center"/>
        <w:rPr>
          <w:rFonts w:ascii="宋体" w:hAnsi="宋体" w:cs="宋体"/>
          <w:b/>
          <w:bCs/>
          <w:color w:val="4D4D4D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4D4D4D"/>
          <w:kern w:val="0"/>
          <w:sz w:val="28"/>
          <w:szCs w:val="28"/>
        </w:rPr>
        <w:t>报名供应商登记表</w:t>
      </w:r>
    </w:p>
    <w:p>
      <w:pPr>
        <w:widowControl/>
        <w:shd w:val="clear" w:color="auto" w:fill="FFFFFF"/>
        <w:spacing w:line="480" w:lineRule="atLeast"/>
        <w:ind w:firstLine="560"/>
        <w:rPr>
          <w:rFonts w:ascii="宋体" w:hAnsi="宋体" w:cs="宋体"/>
          <w:color w:val="4D4D4D"/>
          <w:kern w:val="0"/>
          <w:sz w:val="28"/>
          <w:szCs w:val="28"/>
        </w:rPr>
      </w:pPr>
      <w:r>
        <w:rPr>
          <w:rFonts w:hint="eastAsia" w:ascii="宋体" w:hAnsi="宋体" w:cs="宋体"/>
          <w:color w:val="4D4D4D"/>
          <w:kern w:val="0"/>
          <w:sz w:val="28"/>
          <w:szCs w:val="28"/>
        </w:rPr>
        <w:t>采购方：内蒙古医科大学附属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1"/>
        <w:gridCol w:w="5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282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供应商名称（全称）</w:t>
            </w:r>
          </w:p>
        </w:tc>
        <w:tc>
          <w:tcPr>
            <w:tcW w:w="5282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供应商详细地址</w:t>
            </w:r>
          </w:p>
        </w:tc>
        <w:tc>
          <w:tcPr>
            <w:tcW w:w="5282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遴选会现场供应商代表</w:t>
            </w:r>
          </w:p>
        </w:tc>
        <w:tc>
          <w:tcPr>
            <w:tcW w:w="5282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282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E-mail</w:t>
            </w:r>
          </w:p>
        </w:tc>
        <w:tc>
          <w:tcPr>
            <w:tcW w:w="5282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5282" w:type="dxa"/>
            <w:shd w:val="clear" w:color="auto" w:fill="auto"/>
            <w:noWrap w:val="0"/>
            <w:vAlign w:val="top"/>
          </w:tcPr>
          <w:p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宋体" w:hAnsi="宋体" w:cs="宋体"/>
          <w:color w:val="4D4D4D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0B121"/>
    <w:multiLevelType w:val="singleLevel"/>
    <w:tmpl w:val="BCD0B12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TAyZTMzZTliZGIzZGI0ZmUxNDViZjUyYzhlMjcifQ=="/>
  </w:docVars>
  <w:rsids>
    <w:rsidRoot w:val="472846FB"/>
    <w:rsid w:val="472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2024-11-21T07:04:00Z</dcterms:created>
  <dc:creator>WPS_1572612272</dc:creator>
  <cp:lastModifiedBy>WPS_1572612272</cp:lastModifiedBy>
  <dcterms:modified xsi:type="dcterms:W3CDTF">2024-11-21T07:05:22Z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8C99893F82AB4771BE67C5B7AC47275B_11</vt:lpwstr>
  </property>
</Properties>
</file>